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</w:r>
      <w:bookmarkStart w:id="0" w:name="_GoBack"/>
      <w:bookmarkStart w:id="1" w:name="_GoBack"/>
      <w:bookmarkEnd w:id="1"/>
    </w:p>
    <w:p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do umowy dofinansowania w ramach </w:t>
      </w:r>
    </w:p>
    <w:p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programu  priorytetowego „Ciepłe </w:t>
      </w:r>
      <w:r>
        <w:rPr>
          <w:sz w:val="18"/>
          <w:szCs w:val="18"/>
        </w:rPr>
        <w:t>M</w:t>
      </w:r>
      <w:r>
        <w:rPr>
          <w:sz w:val="18"/>
          <w:szCs w:val="18"/>
        </w:rPr>
        <w:t>ieszkanie”</w:t>
      </w:r>
    </w:p>
    <w:p>
      <w:pPr>
        <w:pStyle w:val="Default"/>
        <w:jc w:val="left"/>
        <w:rPr>
          <w:b/>
          <w:b/>
          <w:bCs/>
          <w:color w:val="C9211E"/>
          <w:sz w:val="20"/>
          <w:szCs w:val="20"/>
        </w:rPr>
      </w:pPr>
      <w:r>
        <w:rPr>
          <w:b/>
          <w:bCs/>
          <w:color w:val="C9211E"/>
          <w:sz w:val="20"/>
          <w:szCs w:val="20"/>
        </w:rPr>
        <w:t>wypełniają tylko  wspólnoty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/>
      </w:pPr>
      <w:r>
        <w:rPr>
          <w:b/>
          <w:bCs/>
        </w:rPr>
        <w:t>Metodyka szacowania efektu ekologicznego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>program priorytetowy „Ciepłe Mieszkanie”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Default"/>
        <w:numPr>
          <w:ilvl w:val="0"/>
          <w:numId w:val="1"/>
        </w:numPr>
        <w:spacing w:before="0" w:after="120"/>
        <w:ind w:left="425" w:hanging="357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Wskaźniki osiągnięcia celu zostały obliczone przy następujących założeniach: </w:t>
      </w:r>
    </w:p>
    <w:tbl>
      <w:tblPr>
        <w:tblStyle w:val="Tabela-Siatka"/>
        <w:tblW w:w="91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78"/>
        <w:gridCol w:w="1484"/>
        <w:gridCol w:w="1399"/>
      </w:tblGrid>
      <w:tr>
        <w:trPr/>
        <w:tc>
          <w:tcPr>
            <w:tcW w:w="6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Parametr</w:t>
            </w:r>
          </w:p>
        </w:tc>
        <w:tc>
          <w:tcPr>
            <w:tcW w:w="14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Jednostka</w:t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wielkość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Jednostkowe zapotrzebowanie na energię (EU) przed realizacją prac (bez uwzględnienia systemu grzewczego)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kWh/m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vertAlign w:val="super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/rok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200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Uśredniona sprawność sezonowa źródła ciepła na paliwo stałe – węgiel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-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0,65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Współczynnik nakładu nieodnawialnej energii pierwotnej dla węgla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-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1,1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Jednostkowe zapotrzebowanie na energię (EU) po realizacji prac (bez uwzględnienia systemu grzewczego)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kWh/m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vertAlign w:val="super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/rok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100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Obniżenie jednostkowego zapotrzebowania na energię (EU) po wymianie okien i/albo drzwi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kWh/m</w:t>
            </w: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vertAlign w:val="super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/rok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25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Uśredniona sprawność sezonowa dla pompy ciepła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-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3,5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Uśredniona sprawność sezonowa dla innego źródła ciepła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-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0,95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Uśredniona sprawność sezonowa dla kotła na pellet drzewny o podwyższonym standardzie 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-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0,85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Współczynnik nakładu nieodnawialnej energii pierwotnej dla pomp ciepła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-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2,5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Współczynnik nakładu nieodnawialnej energii pierwotnej dla pelletu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-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0,2 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Uśredniony współczynnik nakładu nieodnawialnej energii pierwotnej dla innego źródła ciepła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-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1,1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Emisja PM10 (kotły węglowe)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g/MWh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1 537,2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Emisja benzo(a)pirenu (kotły węglowe)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g/MWh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1,008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Emisja CO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vertAlign w:val="sub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 xml:space="preserve"> (kotły węglowe)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kg/MWh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341,028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Emisja PM10 (kotły gazowe)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g/MWh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1,08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Emisja CO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vertAlign w:val="sub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 xml:space="preserve"> (kotły gazowe)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kg/MWh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199,728</w:t>
            </w:r>
          </w:p>
        </w:tc>
      </w:tr>
      <w:tr>
        <w:trPr/>
        <w:tc>
          <w:tcPr>
            <w:tcW w:w="62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Emisja CO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vertAlign w:val="sub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 xml:space="preserve"> (energia elektryczna)</w:t>
            </w:r>
          </w:p>
        </w:tc>
        <w:tc>
          <w:tcPr>
            <w:tcW w:w="14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kg/MWh</w:t>
            </w:r>
          </w:p>
        </w:tc>
        <w:tc>
          <w:tcPr>
            <w:tcW w:w="13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708</w:t>
            </w:r>
          </w:p>
        </w:tc>
      </w:tr>
    </w:tbl>
    <w:p>
      <w:pPr>
        <w:pStyle w:val="Default"/>
        <w:spacing w:before="240" w:after="24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Założenia dotyczące sprawności sezonowej źródeł ciepła oraz współczynnika nakładu nieodnawialnej energii pierwotnej zostały przyjęte na podstawie dostępnej literatury i Rozporządzenia Ministra Infrastruktury i Rozwoju z dnia 27 lutego 2015 r. w sprawie metodologii wyznaczania charakterystyki energetycznej budynku lub części budynku oraz świadectw charakterystyki energetycznej.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Założenia dotyczące emisyjności CO</w:t>
      </w:r>
      <w:r>
        <w:rPr>
          <w:rFonts w:cs="Calibri" w:cstheme="minorHAnsi"/>
          <w:sz w:val="22"/>
          <w:szCs w:val="22"/>
          <w:vertAlign w:val="subscript"/>
        </w:rPr>
        <w:t>2</w:t>
      </w:r>
      <w:r>
        <w:rPr>
          <w:rFonts w:cs="Calibri" w:cstheme="minorHAnsi"/>
          <w:sz w:val="22"/>
          <w:szCs w:val="22"/>
        </w:rPr>
        <w:t xml:space="preserve"> zostały przyjęte na podstawie opracowań KOBIZE:</w:t>
      </w:r>
    </w:p>
    <w:p>
      <w:pPr>
        <w:pStyle w:val="Default"/>
        <w:numPr>
          <w:ilvl w:val="0"/>
          <w:numId w:val="2"/>
        </w:numPr>
        <w:ind w:left="284" w:hanging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Wskaźniki emisyjności CO</w:t>
      </w:r>
      <w:r>
        <w:rPr>
          <w:rFonts w:cs="Calibri" w:cstheme="minorHAnsi"/>
          <w:sz w:val="22"/>
          <w:szCs w:val="22"/>
          <w:vertAlign w:val="subscript"/>
        </w:rPr>
        <w:t>2</w:t>
      </w:r>
      <w:r>
        <w:rPr>
          <w:rFonts w:cs="Calibri" w:cstheme="minorHAnsi"/>
          <w:sz w:val="22"/>
          <w:szCs w:val="22"/>
        </w:rPr>
        <w:t>, SO</w:t>
      </w:r>
      <w:r>
        <w:rPr>
          <w:rFonts w:cs="Calibri" w:cstheme="minorHAnsi"/>
          <w:sz w:val="22"/>
          <w:szCs w:val="22"/>
          <w:vertAlign w:val="subscript"/>
        </w:rPr>
        <w:t>2</w:t>
      </w:r>
      <w:r>
        <w:rPr>
          <w:rFonts w:cs="Calibri" w:cstheme="minorHAnsi"/>
          <w:sz w:val="22"/>
          <w:szCs w:val="22"/>
        </w:rPr>
        <w:t>, NO</w:t>
      </w:r>
      <w:r>
        <w:rPr>
          <w:rFonts w:cs="Calibri" w:cstheme="minorHAnsi"/>
          <w:sz w:val="22"/>
          <w:szCs w:val="22"/>
          <w:vertAlign w:val="subscript"/>
        </w:rPr>
        <w:t>x</w:t>
      </w:r>
      <w:r>
        <w:rPr>
          <w:rFonts w:cs="Calibri" w:cstheme="minorHAnsi"/>
          <w:sz w:val="22"/>
          <w:szCs w:val="22"/>
        </w:rPr>
        <w:t>, CO i pyłu całkowitego dla energii elektrycznej na podstawie informacji zawartych w Krajowej bazie o emisjach gazów cieplarnianych i innych substancji za  2021 rok,</w:t>
      </w:r>
    </w:p>
    <w:p>
      <w:pPr>
        <w:pStyle w:val="Default"/>
        <w:numPr>
          <w:ilvl w:val="0"/>
          <w:numId w:val="2"/>
        </w:numPr>
        <w:ind w:left="284" w:hanging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Wartości opałowe (WO) i wskaźniki emisji CO2 (WE) w roku 2020 do raportowania w ramach Systemu Handlu Uprawnieniami do Emisji za rok 2023. Wskaźniki te będą aktualizowane corocznie po publikacji przez KOBIZE nowych opracowań.</w:t>
      </w:r>
    </w:p>
    <w:p>
      <w:pPr>
        <w:pStyle w:val="Default"/>
        <w:ind w:left="284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Założenia dotyczące emisji PM10 i benzo(a)pirenu zostały przyjęte na podstawie opracowań:</w:t>
      </w:r>
    </w:p>
    <w:p>
      <w:pPr>
        <w:pStyle w:val="Normal"/>
        <w:jc w:val="both"/>
        <w:rPr>
          <w:rFonts w:cs="Calibri" w:cstheme="minorHAnsi"/>
          <w:color w:val="000000"/>
        </w:rPr>
      </w:pPr>
      <w:r>
        <w:rPr>
          <w:rFonts w:cs="Calibri" w:cstheme="minorHAnsi"/>
        </w:rPr>
        <w:t>„</w:t>
      </w:r>
      <w:r>
        <w:rPr>
          <w:rFonts w:cs="Calibri" w:cstheme="minorHAnsi"/>
        </w:rPr>
        <w:t xml:space="preserve">Wskaźniki emisji zanieczyszczeń powietrza emitowanych z indywidualnych źródeł ciepła opracowane przez Instytut Chemicznej Przeróbki Węgla” (wartości wskaźników zostały zaktualizowane w związku </w:t>
        <w:br/>
        <w:t xml:space="preserve">z pracą zrealizowaną przez Instytut Chemicznej Przeróbki Węgla na zlecenie IOŚ-PIB KOBiZE), dane </w:t>
        <w:br/>
        <w:t xml:space="preserve">dla pozycji: 8, 21, 22, 33, 34. Dane na dzień: 23 czerwca 2021. 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left="283" w:hanging="357"/>
        <w:contextualSpacing/>
        <w:jc w:val="both"/>
        <w:rPr>
          <w:rFonts w:cs="Calibri" w:cstheme="minorHAnsi"/>
          <w:color w:val="000000"/>
        </w:rPr>
      </w:pPr>
      <w:r>
        <w:rPr>
          <w:rFonts w:cs="Calibri" w:cstheme="minorHAnsi"/>
          <w:color w:val="000000"/>
        </w:rPr>
        <w:t>Ustalono następujące uśrednione wskaźniki osiągnięcia celu programu w odniesieniu do jednego m</w:t>
      </w:r>
      <w:r>
        <w:rPr>
          <w:rFonts w:cs="Calibri" w:cstheme="minorHAnsi"/>
          <w:color w:val="000000"/>
          <w:vertAlign w:val="superscript"/>
        </w:rPr>
        <w:t>2</w:t>
      </w:r>
      <w:r>
        <w:rPr>
          <w:rFonts w:cs="Calibri" w:cstheme="minorHAnsi"/>
          <w:color w:val="000000"/>
        </w:rPr>
        <w:t xml:space="preserve"> powierzchni lokalu / budynku wielorodzinnego mieszkalnego w zależności od zakresu przedsięwzięcia: </w:t>
      </w:r>
    </w:p>
    <w:tbl>
      <w:tblPr>
        <w:tblStyle w:val="Tabela-Siatka"/>
        <w:tblW w:w="91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08"/>
        <w:gridCol w:w="1570"/>
        <w:gridCol w:w="2383"/>
      </w:tblGrid>
      <w:tr>
        <w:trPr/>
        <w:tc>
          <w:tcPr>
            <w:tcW w:w="5208" w:type="dxa"/>
            <w:tcBorders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Parametr</w:t>
            </w:r>
          </w:p>
        </w:tc>
        <w:tc>
          <w:tcPr>
            <w:tcW w:w="1570" w:type="dxa"/>
            <w:tcBorders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Jednostka</w:t>
            </w:r>
          </w:p>
        </w:tc>
        <w:tc>
          <w:tcPr>
            <w:tcW w:w="2383" w:type="dxa"/>
            <w:tcBorders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Wielkość [W]</w:t>
            </w:r>
          </w:p>
        </w:tc>
      </w:tr>
      <w:tr>
        <w:trPr/>
        <w:tc>
          <w:tcPr>
            <w:tcW w:w="9161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i/>
                <w:i/>
                <w:iCs/>
              </w:rPr>
            </w:pPr>
            <w:r>
              <w:rPr>
                <w:rFonts w:eastAsia="Calibri" w:cs="Calibri" w:cstheme="minorHAnsi"/>
                <w:b/>
                <w:i/>
                <w:iCs/>
                <w:kern w:val="0"/>
                <w:sz w:val="22"/>
                <w:szCs w:val="22"/>
                <w:lang w:val="pl-PL" w:eastAsia="en-US" w:bidi="ar-SA"/>
              </w:rPr>
              <w:t>Zmniejszenie zużycia energii końcowej</w:t>
            </w:r>
          </w:p>
        </w:tc>
      </w:tr>
      <w:tr>
        <w:trPr>
          <w:trHeight w:val="360" w:hRule="atLeast"/>
        </w:trPr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pompę ciepła</w:t>
            </w:r>
          </w:p>
        </w:tc>
        <w:tc>
          <w:tcPr>
            <w:tcW w:w="157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GJ/m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vertAlign w:val="super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/rok</w:t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0,901978</w:t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pompę ciepła + wymiana okien i/albo drzwi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0,927692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źródło na kocioł na pellet drzewny / zgazowujący drewno o podwyższonym standardzie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0,260633</w:t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źródło na kocioł na pellet drzewny / zgazowujący drewno o podwyższonym standardzie + wymiana okien i/albo drzwi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l-PL" w:eastAsia="pl-PL" w:bidi="ar-SA"/>
              </w:rPr>
              <w:t>0,366516</w:t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inne źródło ciepła lub podłączenie do źródła ciepła w budynku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0,349798</w:t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- wymiana źródła ciepła na inne źródło ciepła lub podłączenie do źródła ciepła w budynku + wymiana okien </w:t>
            </w: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i/albo drzwi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0,444534</w:t>
            </w:r>
          </w:p>
        </w:tc>
      </w:tr>
      <w:tr>
        <w:trPr/>
        <w:tc>
          <w:tcPr>
            <w:tcW w:w="9161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i/>
                <w:i/>
                <w:iCs/>
              </w:rPr>
            </w:pPr>
            <w:r>
              <w:rPr>
                <w:rFonts w:eastAsia="Calibri" w:cs="Calibri" w:cstheme="minorHAnsi"/>
                <w:b/>
                <w:i/>
                <w:iCs/>
                <w:kern w:val="0"/>
                <w:sz w:val="22"/>
                <w:szCs w:val="22"/>
                <w:lang w:val="pl-PL" w:eastAsia="en-US" w:bidi="ar-SA"/>
              </w:rPr>
              <w:t>Ograniczenie emisji pyłu o średnicy mniejszej niż 10 mikrometrów (PM10)</w:t>
            </w:r>
          </w:p>
        </w:tc>
      </w:tr>
      <w:tr>
        <w:trPr/>
        <w:tc>
          <w:tcPr>
            <w:tcW w:w="52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 xml:space="preserve">- wymiana źródła ciepła </w:t>
            </w: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na pompę ciepła</w:t>
            </w:r>
          </w:p>
        </w:tc>
        <w:tc>
          <w:tcPr>
            <w:tcW w:w="157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Mg/m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vertAlign w:val="super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/rok</w:t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0,000520</w:t>
            </w:r>
          </w:p>
        </w:tc>
      </w:tr>
      <w:tr>
        <w:trPr/>
        <w:tc>
          <w:tcPr>
            <w:tcW w:w="52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źródło na kocioł na pellet drzewny / zgazowujący drewno o podwyższonym standardzie</w:t>
            </w:r>
          </w:p>
        </w:tc>
        <w:tc>
          <w:tcPr>
            <w:tcW w:w="157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0,000518</w:t>
            </w:r>
          </w:p>
        </w:tc>
      </w:tr>
      <w:tr>
        <w:trPr/>
        <w:tc>
          <w:tcPr>
            <w:tcW w:w="52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inne źródło ciepła lub podłączenie do źródła ciepła w budynku</w:t>
            </w:r>
          </w:p>
        </w:tc>
        <w:tc>
          <w:tcPr>
            <w:tcW w:w="157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0,000520</w:t>
            </w:r>
          </w:p>
        </w:tc>
      </w:tr>
      <w:tr>
        <w:trPr/>
        <w:tc>
          <w:tcPr>
            <w:tcW w:w="9161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i/>
                <w:i/>
                <w:iCs/>
              </w:rPr>
            </w:pPr>
            <w:r>
              <w:rPr>
                <w:rFonts w:eastAsia="Calibri" w:cs="Calibri" w:cstheme="minorHAnsi"/>
                <w:b/>
                <w:i/>
                <w:iCs/>
                <w:kern w:val="0"/>
                <w:sz w:val="22"/>
                <w:szCs w:val="22"/>
                <w:lang w:val="pl-PL" w:eastAsia="en-US" w:bidi="ar-SA"/>
              </w:rPr>
              <w:t>Ograniczenie emisji benzo(a)pirenu [Mg/rok]</w:t>
            </w:r>
          </w:p>
        </w:tc>
      </w:tr>
      <w:tr>
        <w:trPr/>
        <w:tc>
          <w:tcPr>
            <w:tcW w:w="52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- wymiana źródła ciepła</w:t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Mg/m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vertAlign w:val="super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/rok</w:t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0,0000003412</w:t>
            </w:r>
          </w:p>
        </w:tc>
      </w:tr>
      <w:tr>
        <w:trPr/>
        <w:tc>
          <w:tcPr>
            <w:tcW w:w="9161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Zmniejszenie emisji CO</w:t>
            </w: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vertAlign w:val="subscript"/>
                <w:lang w:val="pl-PL" w:eastAsia="en-US" w:bidi="ar-SA"/>
              </w:rPr>
              <w:t>2</w:t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pompę ciepła</w:t>
            </w:r>
          </w:p>
        </w:tc>
        <w:tc>
          <w:tcPr>
            <w:tcW w:w="157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Mg/m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vertAlign w:val="superscript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/rok</w:t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l-PL" w:eastAsia="en-US" w:bidi="ar-SA"/>
              </w:rPr>
              <w:t>0,014282</w:t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- wymiana źródła ciepła na pompę ciepła + wymiana okien </w:t>
            </w: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i/albo drzwi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l-PL" w:eastAsia="en-US" w:bidi="ar-SA"/>
              </w:rPr>
              <w:t>0,026925</w:t>
            </w:r>
          </w:p>
        </w:tc>
      </w:tr>
      <w:tr>
        <w:trPr/>
        <w:tc>
          <w:tcPr>
            <w:tcW w:w="52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źródło na kocioł na pellet drzewny / zgazowujący drewno o podwyższonym standardzie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cs="Calibri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l-PL" w:eastAsia="en-US" w:bidi="ar-SA"/>
              </w:rPr>
              <w:t>0,096451</w:t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źródło na kocioł na pellet drzewny / zgazowujący drewno o podwyższonym standardzie + wymiana okien i/albo drzwi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cs="Calibri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l-PL" w:eastAsia="en-US" w:bidi="ar-SA"/>
              </w:rPr>
              <w:t>0,100615</w:t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>- wymiana źródła ciepła na inne źródło ciepła lub podłączenie do źródła ciepła w budynku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l-PL" w:eastAsia="en-US" w:bidi="ar-SA"/>
              </w:rPr>
              <w:t>0,069172</w:t>
            </w:r>
          </w:p>
        </w:tc>
      </w:tr>
      <w:tr>
        <w:trPr/>
        <w:tc>
          <w:tcPr>
            <w:tcW w:w="5208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2"/>
                <w:szCs w:val="22"/>
                <w:lang w:val="pl-PL" w:eastAsia="en-US" w:bidi="ar-SA"/>
              </w:rPr>
              <w:t xml:space="preserve">- wymiana źródła ciepła na inne źródło ciepła lub podłączenie do źródła ciepła w budynku + wymiana okien </w:t>
            </w: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i/albo drzwi</w:t>
            </w:r>
          </w:p>
        </w:tc>
        <w:tc>
          <w:tcPr>
            <w:tcW w:w="157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23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color w:val="000000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l-PL" w:eastAsia="en-US" w:bidi="ar-SA"/>
              </w:rPr>
              <w:t>0,074954</w:t>
            </w:r>
          </w:p>
        </w:tc>
      </w:tr>
    </w:tbl>
    <w:p>
      <w:pPr>
        <w:pStyle w:val="Normal"/>
        <w:spacing w:lineRule="auto" w:line="240" w:before="0" w:after="0"/>
        <w:ind w:left="66" w:hanging="0"/>
        <w:jc w:val="both"/>
        <w:rPr>
          <w:rFonts w:cs="Calibri" w:cs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Normal"/>
        <w:spacing w:lineRule="auto" w:line="240" w:before="0" w:after="120"/>
        <w:ind w:left="68" w:hanging="0"/>
        <w:jc w:val="both"/>
        <w:rPr>
          <w:rFonts w:cs="Calibri" w:cstheme="minorHAnsi"/>
          <w:color w:val="000000"/>
        </w:rPr>
      </w:pPr>
      <w:r>
        <w:rPr>
          <w:rFonts w:cs="Calibri" w:cstheme="minorHAnsi"/>
          <w:color w:val="000000"/>
        </w:rPr>
        <w:t>2a) Ustalono następujące wskaźniki osiągnięcia celu programu dla Części 4):</w:t>
      </w:r>
    </w:p>
    <w:p>
      <w:pPr>
        <w:pStyle w:val="Normal"/>
        <w:spacing w:lineRule="auto" w:line="240" w:before="0" w:after="0"/>
        <w:ind w:left="66" w:hanging="0"/>
        <w:jc w:val="both"/>
        <w:rPr>
          <w:rFonts w:cs="Calibri" w:cstheme="minorHAnsi"/>
          <w:color w:val="000000"/>
        </w:rPr>
      </w:pPr>
      <w:bookmarkStart w:id="2" w:name="_Hlk142309157"/>
      <w:r>
        <w:rPr>
          <w:rFonts w:cs="Calibri" w:cstheme="minorHAnsi"/>
          <w:color w:val="000000"/>
        </w:rPr>
        <w:t xml:space="preserve">Sposób obliczenia zrealizowanego efektu ekologicznego dla Części 4) Programu wykorzystuje informacje z Wniosku o Płatność wyliczone na podstawie audytu energetycznego przeprowadzonego na zlecenie Beneficjenta końcowego w szczególności na podstawie wzoru dokumentu podsumowującego audyt energetyczny zawierający wyliczenie efektów ekologicznych </w:t>
        <w:br/>
        <w:t>i energetycznych wymaganych dla Części 4).</w:t>
      </w:r>
      <w:bookmarkEnd w:id="2"/>
    </w:p>
    <w:p>
      <w:pPr>
        <w:pStyle w:val="Normal"/>
        <w:spacing w:lineRule="auto" w:line="240" w:before="0" w:after="0"/>
        <w:jc w:val="both"/>
        <w:rPr>
          <w:rFonts w:cs="Calibri" w:cs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ListParagraph"/>
        <w:keepNext w:val="true"/>
        <w:numPr>
          <w:ilvl w:val="0"/>
          <w:numId w:val="1"/>
        </w:numPr>
        <w:spacing w:lineRule="auto" w:line="240" w:before="0" w:after="120"/>
        <w:ind w:left="425" w:hanging="357"/>
        <w:contextualSpacing/>
        <w:jc w:val="both"/>
        <w:rPr>
          <w:rFonts w:cs="Calibri" w:cstheme="minorHAnsi"/>
          <w:color w:val="000000"/>
        </w:rPr>
      </w:pPr>
      <w:r>
        <w:rPr>
          <w:rFonts w:cs="Calibri" w:cstheme="minorHAnsi"/>
          <w:color w:val="000000"/>
        </w:rPr>
        <w:t>Uśrednione wskaźniki osiągnięcia celu programu służą do monitorowania postępu w jego osiągnięciu na poziomie Części 1), Części 2) oraz Części 3) programu wg następującego wyliczenia:</w:t>
      </w:r>
    </w:p>
    <w:p>
      <w:pPr>
        <w:pStyle w:val="ListParagraph"/>
        <w:keepNext w:val="true"/>
        <w:numPr>
          <w:ilvl w:val="1"/>
          <w:numId w:val="1"/>
        </w:numPr>
        <w:ind w:left="851" w:hanging="425"/>
        <w:jc w:val="both"/>
        <w:rPr>
          <w:rFonts w:cs="Calibri" w:cstheme="minorHAnsi"/>
        </w:rPr>
      </w:pPr>
      <w:r>
        <w:rPr>
          <w:rFonts w:cs="Calibri" w:cstheme="minorHAnsi"/>
        </w:rPr>
        <w:t>Zmniejszenie zużycia energii końcowej:</w:t>
      </w:r>
    </w:p>
    <w:p>
      <w:pPr>
        <w:pStyle w:val="ListParagraph"/>
        <w:keepNext w:val="true"/>
        <w:spacing w:before="240" w:after="240"/>
        <w:ind w:left="851" w:hanging="0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 xml:space="preserve">ZEN = X *∙W [GJ/rok] </w:t>
      </w:r>
    </w:p>
    <w:p>
      <w:pPr>
        <w:pStyle w:val="ListParagraph"/>
        <w:keepNext w:val="true"/>
        <w:ind w:left="851" w:hanging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gdzie: </w:t>
      </w:r>
    </w:p>
    <w:p>
      <w:pPr>
        <w:pStyle w:val="ListParagraph"/>
        <w:ind w:left="1276" w:hanging="425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X – łączna powierzchnia lokali mieszkalnych, w których zrealizowano przedsięwzięcia, </w:t>
      </w:r>
    </w:p>
    <w:p>
      <w:pPr>
        <w:pStyle w:val="ListParagraph"/>
        <w:spacing w:before="0" w:after="160"/>
        <w:ind w:left="1276" w:hanging="425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>W – wartość liczbowa zmniejszenia zużycia energii końcowej, w przeliczeniu na m</w:t>
      </w:r>
      <w:r>
        <w:rPr>
          <w:rFonts w:cs="Calibri" w:cstheme="minorHAnsi"/>
          <w:vertAlign w:val="superscript"/>
        </w:rPr>
        <w:t>2</w:t>
      </w:r>
      <w:r>
        <w:rPr>
          <w:rFonts w:cs="Calibri" w:cstheme="minorHAnsi"/>
        </w:rPr>
        <w:t>, w zależności od zakresu przedsięwzięcia wg tabeli zawartej w pkt. 2.</w:t>
      </w:r>
    </w:p>
    <w:p>
      <w:pPr>
        <w:pStyle w:val="ListParagraph"/>
        <w:numPr>
          <w:ilvl w:val="1"/>
          <w:numId w:val="1"/>
        </w:numPr>
        <w:spacing w:before="240" w:after="160"/>
        <w:ind w:left="851" w:hanging="425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>Zmniejszenie emisji zanieczyszczeń</w:t>
      </w:r>
    </w:p>
    <w:p>
      <w:pPr>
        <w:pStyle w:val="ListParagraph"/>
        <w:spacing w:before="240" w:after="240"/>
        <w:ind w:left="851" w:hanging="0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>Z</w:t>
      </w:r>
      <w:r>
        <w:rPr>
          <w:rFonts w:cs="Calibri" w:cstheme="minorHAnsi"/>
          <w:vertAlign w:val="subscript"/>
        </w:rPr>
        <w:t>CO2</w:t>
      </w:r>
      <w:r>
        <w:rPr>
          <w:rFonts w:cs="Calibri" w:cstheme="minorHAnsi"/>
        </w:rPr>
        <w:t xml:space="preserve"> (PM10, B(a)P) = X * W  [Mg/rok] </w:t>
      </w:r>
    </w:p>
    <w:p>
      <w:pPr>
        <w:pStyle w:val="ListParagraph"/>
        <w:ind w:left="851" w:hanging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gdzie: </w:t>
      </w:r>
    </w:p>
    <w:p>
      <w:pPr>
        <w:pStyle w:val="ListParagraph"/>
        <w:ind w:left="1276" w:hanging="425"/>
        <w:jc w:val="both"/>
        <w:rPr>
          <w:rFonts w:cs="Calibri" w:cstheme="minorHAnsi"/>
        </w:rPr>
      </w:pPr>
      <w:r>
        <w:rPr>
          <w:rFonts w:cs="Calibri" w:cstheme="minorHAnsi"/>
        </w:rPr>
        <w:t>Z</w:t>
      </w:r>
      <w:r>
        <w:rPr>
          <w:rFonts w:cs="Calibri" w:cstheme="minorHAnsi"/>
          <w:vertAlign w:val="subscript"/>
        </w:rPr>
        <w:t>CO2</w:t>
      </w:r>
      <w:r>
        <w:rPr>
          <w:rFonts w:cs="Calibri" w:cstheme="minorHAnsi"/>
        </w:rPr>
        <w:t xml:space="preserve"> (PM10, B(a)P) – efekt ekologiczny obliczony dla poszczególnych wskaźników, </w:t>
        <w:br/>
        <w:t>tj. zmniejszenie emisji CO</w:t>
      </w:r>
      <w:r>
        <w:rPr>
          <w:rFonts w:cs="Calibri" w:cstheme="minorHAnsi"/>
          <w:vertAlign w:val="subscript"/>
        </w:rPr>
        <w:t>2</w:t>
      </w:r>
      <w:r>
        <w:rPr>
          <w:rFonts w:cs="Calibri" w:cstheme="minorHAnsi"/>
        </w:rPr>
        <w:t xml:space="preserve">, zmniejszenie emisji PM10, zmniejszenie emisji benzo(a)pirenu, z uwzględnieniem podziału na zakresy przedsięwzięć  </w:t>
      </w:r>
    </w:p>
    <w:p>
      <w:pPr>
        <w:pStyle w:val="ListParagraph"/>
        <w:ind w:left="1276" w:hanging="425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X – łączna powierzchnia lokali mieszkalnych, w których zrealizowano przedsięwzięcia, </w:t>
      </w:r>
    </w:p>
    <w:p>
      <w:pPr>
        <w:pStyle w:val="ListParagraph"/>
        <w:spacing w:before="0" w:after="160"/>
        <w:ind w:left="1276" w:hanging="425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>W – wartość liczbowa wskaźnika zmniejszenia emisji poszczególnych zanieczyszczeń, w przeliczeniu na m</w:t>
      </w:r>
      <w:r>
        <w:rPr>
          <w:rFonts w:cs="Calibri" w:cstheme="minorHAnsi"/>
          <w:vertAlign w:val="superscript"/>
        </w:rPr>
        <w:t>2</w:t>
      </w:r>
      <w:r>
        <w:rPr>
          <w:rFonts w:cs="Calibri" w:cstheme="minorHAnsi"/>
        </w:rPr>
        <w:t xml:space="preserve">, w zależności od zakresu przedsięwzięcia wg tabeli zawartej </w:t>
        <w:br/>
        <w:t>w pkt. 2.</w:t>
      </w:r>
    </w:p>
    <w:p>
      <w:pPr>
        <w:pStyle w:val="ListParagraph"/>
        <w:numPr>
          <w:ilvl w:val="1"/>
          <w:numId w:val="1"/>
        </w:numPr>
        <w:spacing w:before="240" w:after="160"/>
        <w:ind w:left="851" w:hanging="360"/>
        <w:contextualSpacing/>
        <w:jc w:val="both"/>
        <w:rPr>
          <w:rFonts w:cs="Calibri" w:cstheme="minorHAnsi"/>
          <w:color w:val="000000"/>
        </w:rPr>
      </w:pPr>
      <w:r>
        <w:rPr>
          <w:rFonts w:cs="Calibri" w:cstheme="minorHAnsi"/>
          <w:color w:val="000000"/>
        </w:rPr>
        <w:t>Planowane wskaźniki osiągnięcia celu powinny być zweryfikowane po zakończeniu przedsięwzięcia na podstawie wniosku o płatność lub załączonych do niego dokumentów.</w:t>
      </w:r>
    </w:p>
    <w:p>
      <w:pPr>
        <w:pStyle w:val="ListParagraph"/>
        <w:ind w:left="851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ind w:left="0" w:hanging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3a) Wskaźniki osiągnięcia celu programu służą do monitorowania postępu w jego osiągnięciu </w:t>
        <w:br/>
        <w:t xml:space="preserve">na poziomie Części 4) programu wg informacji z Wniosku o Płatność wyliczonej na podstawie audytu energetycznego przeprowadzonego na zlecenie Beneficjenta końcowego w szczególności </w:t>
        <w:br/>
        <w:t>na podstawie wzoru dokumentu podsumowującego audyt energetyczny zawierający wyliczenie efektów ekologicznych i energetycznych wymaganych dla Części 4).</w:t>
      </w:r>
    </w:p>
    <w:p>
      <w:pPr>
        <w:pStyle w:val="ListParagraph"/>
        <w:ind w:left="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1"/>
        </w:numPr>
        <w:spacing w:before="0" w:after="0"/>
        <w:ind w:left="426" w:hanging="360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>Prezentacja wyników osiągnięcia wskaźników celu programu.</w:t>
      </w:r>
    </w:p>
    <w:p>
      <w:pPr>
        <w:pStyle w:val="Normal"/>
        <w:spacing w:before="0" w:after="12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Stopień zaawansowania realizacji osiągnięcia wskaźników programu należy prezentować </w:t>
        <w:br/>
        <w:t>wg następującego wzoru:</w:t>
      </w:r>
    </w:p>
    <w:tbl>
      <w:tblPr>
        <w:tblStyle w:val="Tabela-Siatka"/>
        <w:tblW w:w="91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78"/>
        <w:gridCol w:w="1484"/>
        <w:gridCol w:w="1399"/>
      </w:tblGrid>
      <w:tr>
        <w:trPr/>
        <w:tc>
          <w:tcPr>
            <w:tcW w:w="6278" w:type="dxa"/>
            <w:tcBorders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Wskaźnik osiągnięcia celu</w:t>
            </w:r>
          </w:p>
        </w:tc>
        <w:tc>
          <w:tcPr>
            <w:tcW w:w="1484" w:type="dxa"/>
            <w:tcBorders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Jednostka</w:t>
            </w:r>
          </w:p>
        </w:tc>
        <w:tc>
          <w:tcPr>
            <w:tcW w:w="1399" w:type="dxa"/>
            <w:tcBorders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wielkość</w:t>
            </w:r>
          </w:p>
        </w:tc>
      </w:tr>
      <w:tr>
        <w:trPr/>
        <w:tc>
          <w:tcPr>
            <w:tcW w:w="6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Liczba lokali mieszkalnych o poprawionej efektywności energetycznej</w:t>
            </w:r>
          </w:p>
        </w:tc>
        <w:tc>
          <w:tcPr>
            <w:tcW w:w="14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szt.</w:t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6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Liczba wymienionych nieefektywnych źródeł ciepła</w:t>
            </w:r>
          </w:p>
        </w:tc>
        <w:tc>
          <w:tcPr>
            <w:tcW w:w="14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szt.</w:t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6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Zmniejszenie zużycia energii końcowej</w:t>
            </w:r>
          </w:p>
        </w:tc>
        <w:tc>
          <w:tcPr>
            <w:tcW w:w="14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GJ/rok</w:t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6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Ograniczenie emisji pyłu o średnicy mniejszej niż 10 mikrometrów (PM10)</w:t>
            </w:r>
          </w:p>
        </w:tc>
        <w:tc>
          <w:tcPr>
            <w:tcW w:w="14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Mg/rok</w:t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6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Ograniczenie emisji benzo(a)pirenu</w:t>
            </w:r>
          </w:p>
        </w:tc>
        <w:tc>
          <w:tcPr>
            <w:tcW w:w="14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Mg/rok</w:t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6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Zmniejszenie emisji CO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vertAlign w:val="subscript"/>
                <w:lang w:val="pl-PL" w:eastAsia="en-US" w:bidi="ar-SA"/>
              </w:rPr>
              <w:t>2</w:t>
            </w:r>
          </w:p>
        </w:tc>
        <w:tc>
          <w:tcPr>
            <w:tcW w:w="14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Mg/rok</w:t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62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Dodatkowa zdolność wytwarzania energii elektrycznej z zainstalowanych ogniw fotowoltaicznych</w:t>
            </w:r>
          </w:p>
        </w:tc>
        <w:tc>
          <w:tcPr>
            <w:tcW w:w="14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eastAsia="Calibri" w:cs="Calibri" w:cstheme="minorHAnsi"/>
                <w:bCs/>
                <w:kern w:val="0"/>
                <w:sz w:val="22"/>
                <w:szCs w:val="22"/>
                <w:lang w:val="pl-PL" w:eastAsia="en-US" w:bidi="ar-SA"/>
              </w:rPr>
              <w:t>MWe</w:t>
            </w:r>
          </w:p>
        </w:tc>
        <w:tc>
          <w:tcPr>
            <w:tcW w:w="13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</w:tbl>
    <w:p>
      <w:pPr>
        <w:pStyle w:val="Normal"/>
        <w:spacing w:before="0" w:after="160"/>
        <w:rPr>
          <w:rFonts w:cs="Calibri" w:cstheme="minorHAnsi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284" w:footer="708" w:bottom="127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02667972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a34f1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34f1f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e4847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3301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d33018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d33018"/>
    <w:rPr>
      <w:b/>
      <w:bCs/>
      <w:sz w:val="20"/>
      <w:szCs w:val="20"/>
    </w:rPr>
  </w:style>
  <w:style w:type="character" w:styleId="Markedcontent" w:customStyle="1">
    <w:name w:val="markedcontent"/>
    <w:basedOn w:val="DefaultParagraphFont"/>
    <w:qFormat/>
    <w:rsid w:val="00122b6c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342c2a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ec2dd6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34f1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34f1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e484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d3301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33018"/>
    <w:pPr/>
    <w:rPr>
      <w:b/>
      <w:bCs/>
    </w:rPr>
  </w:style>
  <w:style w:type="paragraph" w:styleId="Revision">
    <w:name w:val="Revision"/>
    <w:uiPriority w:val="99"/>
    <w:semiHidden/>
    <w:qFormat/>
    <w:rsid w:val="009e1fc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42c2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13B97-495E-4014-B19D-20D31244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LibreOffice/7.0.0.3$Windows_X86_64 LibreOffice_project/8061b3e9204bef6b321a21033174034a5e2ea88e</Application>
  <Pages>3</Pages>
  <Words>1004</Words>
  <Characters>6559</Characters>
  <CharactersWithSpaces>7445</CharactersWithSpaces>
  <Paragraphs>146</Paragraphs>
  <Company>NFOSiGW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2024-04-12T08:36:00Z</dcterms:created>
  <dc:creator>Bartoszewski Paweł</dc:creator>
  <dc:description/>
  <dc:language>pl-PL</dc:language>
  <cp:lastModifiedBy/>
  <cp:lastPrinted>2024-08-09T12:54:45Z</cp:lastPrinted>
  <dcterms:modified xsi:type="dcterms:W3CDTF">2024-09-05T15:00:45Z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NFOSiGW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